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0CB" w:rsidRDefault="005F07C4">
      <w:pPr>
        <w:spacing w:before="1" w:after="0" w:line="120" w:lineRule="exact"/>
        <w:rPr>
          <w:sz w:val="12"/>
          <w:szCs w:val="12"/>
        </w:rPr>
      </w:pPr>
      <w:r>
        <w:rPr>
          <w:lang w:val="es"/>
        </w:rPr>
        <w:pict>
          <v:group id="_x0000_s1026" style="position:absolute;margin-left:.05pt;margin-top:25pt;width:612pt;height:11in;z-index:-251658240;mso-position-horizontal-relative:page;mso-position-vertical-relative:page" coordsize="12240,15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12240;height:15840">
              <v:imagedata r:id="rId5" o:title=""/>
            </v:shape>
            <v:shape id="_x0000_s1027" type="#_x0000_t75" style="position:absolute;left:2060;top:10664;width:2320;height:468">
              <v:imagedata r:id="rId6" o:title=""/>
            </v:shape>
            <w10:wrap anchorx="page" anchory="page"/>
          </v:group>
        </w:pict>
      </w:r>
    </w:p>
    <w:p w:rsidR="00AC60CB" w:rsidRDefault="00AC60CB">
      <w:pPr>
        <w:spacing w:after="0" w:line="200" w:lineRule="exact"/>
        <w:rPr>
          <w:sz w:val="20"/>
          <w:szCs w:val="20"/>
        </w:rPr>
      </w:pPr>
    </w:p>
    <w:p w:rsidR="00AC60CB" w:rsidRPr="00853280" w:rsidRDefault="009F6B5C">
      <w:pPr>
        <w:spacing w:before="32" w:after="0" w:line="248" w:lineRule="exact"/>
        <w:ind w:right="143"/>
        <w:jc w:val="right"/>
        <w:rPr>
          <w:rFonts w:ascii="Arial" w:eastAsia="Arial" w:hAnsi="Arial" w:cs="Arial"/>
          <w:lang w:val="es-ES"/>
        </w:rPr>
      </w:pPr>
      <w:r>
        <w:rPr>
          <w:rFonts w:ascii="Arial" w:eastAsia="Arial" w:hAnsi="Arial" w:cs="Arial"/>
          <w:lang w:val="es"/>
        </w:rPr>
        <w:t>9 de agosto de 2017</w:t>
      </w:r>
    </w:p>
    <w:p w:rsidR="00AC60CB" w:rsidRPr="00853280" w:rsidRDefault="00AC60CB">
      <w:pPr>
        <w:spacing w:after="0" w:line="200" w:lineRule="exact"/>
        <w:rPr>
          <w:sz w:val="20"/>
          <w:szCs w:val="20"/>
          <w:lang w:val="es-ES"/>
        </w:rPr>
      </w:pPr>
    </w:p>
    <w:p w:rsidR="00AC60CB" w:rsidRPr="00291EF6" w:rsidRDefault="00AC60CB">
      <w:pPr>
        <w:spacing w:before="11" w:after="0" w:line="260" w:lineRule="exact"/>
        <w:rPr>
          <w:sz w:val="21"/>
          <w:szCs w:val="21"/>
          <w:lang w:val="es-ES"/>
        </w:rPr>
      </w:pPr>
    </w:p>
    <w:p w:rsidR="00AC60CB" w:rsidRPr="00291EF6" w:rsidRDefault="009F6B5C">
      <w:pPr>
        <w:spacing w:before="32" w:after="0" w:line="240" w:lineRule="auto"/>
        <w:ind w:left="339" w:right="-20"/>
        <w:rPr>
          <w:rFonts w:ascii="Arial" w:eastAsia="Arial" w:hAnsi="Arial" w:cs="Arial"/>
          <w:sz w:val="21"/>
          <w:szCs w:val="21"/>
          <w:lang w:val="es-ES"/>
        </w:rPr>
      </w:pPr>
      <w:r w:rsidRPr="00291EF6">
        <w:rPr>
          <w:rFonts w:ascii="Arial" w:eastAsia="Arial" w:hAnsi="Arial" w:cs="Arial"/>
          <w:sz w:val="21"/>
          <w:szCs w:val="21"/>
          <w:lang w:val="es"/>
        </w:rPr>
        <w:t>Efectivo: 9 de agosto de 2017, hasta ser reemplazado</w:t>
      </w:r>
    </w:p>
    <w:p w:rsidR="00AC60CB" w:rsidRPr="00291EF6" w:rsidRDefault="00AC60CB">
      <w:pPr>
        <w:spacing w:before="10" w:after="0" w:line="260" w:lineRule="exact"/>
        <w:rPr>
          <w:sz w:val="21"/>
          <w:szCs w:val="21"/>
          <w:lang w:val="es-ES"/>
        </w:rPr>
      </w:pPr>
    </w:p>
    <w:p w:rsidR="00AC60CB" w:rsidRPr="00291EF6" w:rsidRDefault="009F6B5C">
      <w:pPr>
        <w:spacing w:after="0" w:line="240" w:lineRule="auto"/>
        <w:ind w:left="339" w:right="-20"/>
        <w:rPr>
          <w:rFonts w:ascii="Arial" w:eastAsia="Arial" w:hAnsi="Arial" w:cs="Arial"/>
          <w:sz w:val="21"/>
          <w:szCs w:val="21"/>
          <w:lang w:val="es-ES"/>
        </w:rPr>
      </w:pPr>
      <w:r w:rsidRPr="00291EF6">
        <w:rPr>
          <w:rFonts w:ascii="Arial" w:eastAsia="Arial" w:hAnsi="Arial" w:cs="Arial"/>
          <w:sz w:val="21"/>
          <w:szCs w:val="21"/>
          <w:lang w:val="es"/>
        </w:rPr>
        <w:t>Asunto</w:t>
      </w:r>
      <w:r w:rsidR="00853280" w:rsidRPr="00291EF6">
        <w:rPr>
          <w:rFonts w:ascii="Arial" w:eastAsia="Arial" w:hAnsi="Arial" w:cs="Arial"/>
          <w:sz w:val="21"/>
          <w:szCs w:val="21"/>
          <w:lang w:val="es"/>
        </w:rPr>
        <w:t xml:space="preserve">: </w:t>
      </w:r>
      <w:r w:rsidR="00853280" w:rsidRPr="00291EF6">
        <w:rPr>
          <w:rFonts w:ascii="Arial" w:eastAsia="Arial" w:hAnsi="Arial" w:cs="Arial"/>
          <w:b/>
          <w:sz w:val="21"/>
          <w:szCs w:val="21"/>
          <w:lang w:val="es"/>
        </w:rPr>
        <w:t>Certificados</w:t>
      </w:r>
      <w:r w:rsidRPr="00291EF6">
        <w:rPr>
          <w:rFonts w:ascii="Arial" w:eastAsia="Arial" w:hAnsi="Arial" w:cs="Arial"/>
          <w:b/>
          <w:bCs/>
          <w:sz w:val="21"/>
          <w:szCs w:val="21"/>
          <w:lang w:val="es"/>
        </w:rPr>
        <w:t xml:space="preserve"> para los Estándares de Referencia USP y Valores Asignados</w:t>
      </w:r>
    </w:p>
    <w:p w:rsidR="00AC60CB" w:rsidRPr="00291EF6" w:rsidRDefault="00AC60CB">
      <w:pPr>
        <w:spacing w:before="15" w:after="0" w:line="260" w:lineRule="exact"/>
        <w:rPr>
          <w:sz w:val="21"/>
          <w:szCs w:val="21"/>
          <w:lang w:val="es-ES"/>
        </w:rPr>
      </w:pPr>
    </w:p>
    <w:p w:rsidR="00AC60CB" w:rsidRPr="00291EF6" w:rsidRDefault="009F6B5C">
      <w:pPr>
        <w:spacing w:after="0" w:line="240" w:lineRule="auto"/>
        <w:ind w:left="339" w:right="-20"/>
        <w:rPr>
          <w:rFonts w:ascii="Arial" w:eastAsia="Arial" w:hAnsi="Arial" w:cs="Arial"/>
          <w:sz w:val="21"/>
          <w:szCs w:val="21"/>
          <w:lang w:val="es-ES"/>
        </w:rPr>
      </w:pPr>
      <w:r w:rsidRPr="00291EF6">
        <w:rPr>
          <w:rFonts w:ascii="Arial" w:eastAsia="Arial" w:hAnsi="Arial" w:cs="Arial"/>
          <w:sz w:val="21"/>
          <w:szCs w:val="21"/>
          <w:lang w:val="es"/>
        </w:rPr>
        <w:t>Estimado Usuario de USP,</w:t>
      </w:r>
    </w:p>
    <w:p w:rsidR="00AC60CB" w:rsidRPr="00291EF6" w:rsidRDefault="00AC60CB">
      <w:pPr>
        <w:spacing w:before="18" w:after="0" w:line="240" w:lineRule="exact"/>
        <w:rPr>
          <w:sz w:val="21"/>
          <w:szCs w:val="21"/>
          <w:lang w:val="es-ES"/>
        </w:rPr>
      </w:pPr>
    </w:p>
    <w:p w:rsidR="00AC60CB" w:rsidRPr="00291EF6" w:rsidRDefault="009F6B5C">
      <w:pPr>
        <w:spacing w:after="0" w:line="240" w:lineRule="auto"/>
        <w:ind w:left="337" w:right="130" w:firstLine="2"/>
        <w:rPr>
          <w:rFonts w:ascii="Arial" w:eastAsia="Arial" w:hAnsi="Arial" w:cs="Arial"/>
          <w:sz w:val="21"/>
          <w:szCs w:val="21"/>
          <w:lang w:val="es-ES"/>
        </w:rPr>
      </w:pPr>
      <w:r w:rsidRPr="00291EF6">
        <w:rPr>
          <w:rFonts w:ascii="Arial" w:eastAsia="Arial" w:hAnsi="Arial" w:cs="Arial"/>
          <w:sz w:val="21"/>
          <w:szCs w:val="21"/>
          <w:lang w:val="es"/>
        </w:rPr>
        <w:t>La Convención de la Farmacopea de los Estados Unidos de América, Inc. (USP) no emite Certificados de Análisis para los Estándares de Referencia (ER)</w:t>
      </w:r>
      <w:r w:rsidR="001F166B">
        <w:rPr>
          <w:rFonts w:ascii="Arial" w:eastAsia="Arial" w:hAnsi="Arial" w:cs="Arial"/>
          <w:sz w:val="21"/>
          <w:szCs w:val="21"/>
          <w:lang w:val="es"/>
        </w:rPr>
        <w:t>.</w:t>
      </w:r>
      <w:r w:rsidRPr="00291EF6">
        <w:rPr>
          <w:rFonts w:ascii="Arial" w:eastAsia="Arial" w:hAnsi="Arial" w:cs="Arial"/>
          <w:sz w:val="21"/>
          <w:szCs w:val="21"/>
          <w:lang w:val="es"/>
        </w:rPr>
        <w:t xml:space="preserve"> Po</w:t>
      </w:r>
      <w:r w:rsidR="005F07C4">
        <w:rPr>
          <w:rFonts w:ascii="Arial" w:eastAsia="Arial" w:hAnsi="Arial" w:cs="Arial"/>
          <w:sz w:val="21"/>
          <w:szCs w:val="21"/>
          <w:lang w:val="es"/>
        </w:rPr>
        <w:t>r razones científicas y legales</w:t>
      </w:r>
      <w:bookmarkStart w:id="0" w:name="_GoBack"/>
      <w:bookmarkEnd w:id="0"/>
      <w:r w:rsidRPr="00291EF6">
        <w:rPr>
          <w:rFonts w:ascii="Arial" w:eastAsia="Arial" w:hAnsi="Arial" w:cs="Arial"/>
          <w:sz w:val="21"/>
          <w:szCs w:val="21"/>
          <w:lang w:val="es"/>
        </w:rPr>
        <w:t xml:space="preserve"> la USP no emite Certificados de Análisis para sus Estándares de Referencia Los Certificados USP se emiten para proporcionar información a los usuarios, por ejemplo, una copia física del texto de la etiqueta, información molecular, cromatogramas típicos (solo en algunos casos) e información adicional sobre uso y manejo que pudiera no estar incluida en la etiqueta del ER. No se pueden compartir los resultados de las pruebas y los datos no proporcionados en el Certificado USP y en la etiqueta del ER.</w:t>
      </w:r>
    </w:p>
    <w:p w:rsidR="00AC60CB" w:rsidRPr="00291EF6" w:rsidRDefault="00AC60CB">
      <w:pPr>
        <w:spacing w:before="7" w:after="0" w:line="280" w:lineRule="exact"/>
        <w:rPr>
          <w:sz w:val="21"/>
          <w:szCs w:val="21"/>
          <w:lang w:val="es-ES"/>
        </w:rPr>
      </w:pPr>
    </w:p>
    <w:p w:rsidR="00AC60CB" w:rsidRPr="00291EF6" w:rsidRDefault="009F6B5C">
      <w:pPr>
        <w:spacing w:after="0" w:line="240" w:lineRule="auto"/>
        <w:ind w:left="339" w:right="148"/>
        <w:rPr>
          <w:rFonts w:ascii="Arial" w:eastAsia="Arial" w:hAnsi="Arial" w:cs="Arial"/>
          <w:sz w:val="21"/>
          <w:szCs w:val="21"/>
          <w:lang w:val="es-ES"/>
        </w:rPr>
      </w:pPr>
      <w:r w:rsidRPr="00291EF6">
        <w:rPr>
          <w:rFonts w:ascii="Arial" w:eastAsia="Arial" w:hAnsi="Arial" w:cs="Arial"/>
          <w:sz w:val="21"/>
          <w:szCs w:val="21"/>
          <w:lang w:val="es"/>
        </w:rPr>
        <w:t xml:space="preserve">Los Certificados USP para lotes vigentes y anteriores, cuando se encuentran </w:t>
      </w:r>
      <w:proofErr w:type="gramStart"/>
      <w:r w:rsidRPr="00291EF6">
        <w:rPr>
          <w:rFonts w:ascii="Arial" w:eastAsia="Arial" w:hAnsi="Arial" w:cs="Arial"/>
          <w:sz w:val="21"/>
          <w:szCs w:val="21"/>
          <w:lang w:val="es"/>
        </w:rPr>
        <w:t>disponibles</w:t>
      </w:r>
      <w:proofErr w:type="gramEnd"/>
      <w:r w:rsidRPr="00291EF6">
        <w:rPr>
          <w:rFonts w:ascii="Arial" w:eastAsia="Arial" w:hAnsi="Arial" w:cs="Arial"/>
          <w:sz w:val="21"/>
          <w:szCs w:val="21"/>
          <w:lang w:val="es"/>
        </w:rPr>
        <w:t xml:space="preserve">, se pueden consultar en nuestro sitio web haciendo clic en Descripción del Producto en la </w:t>
      </w:r>
      <w:hyperlink r:id="rId7">
        <w:r w:rsidRPr="00291EF6">
          <w:rPr>
            <w:rFonts w:ascii="Arial" w:eastAsia="Arial" w:hAnsi="Arial" w:cs="Arial"/>
            <w:b/>
            <w:bCs/>
            <w:i/>
            <w:iCs/>
            <w:color w:val="FB6142"/>
            <w:sz w:val="21"/>
            <w:szCs w:val="21"/>
            <w:lang w:val="es"/>
          </w:rPr>
          <w:t>tienda de la USP en línea</w:t>
        </w:r>
      </w:hyperlink>
      <w:r w:rsidRPr="00291EF6">
        <w:rPr>
          <w:rFonts w:ascii="Arial" w:eastAsia="Arial" w:hAnsi="Arial" w:cs="Arial"/>
          <w:color w:val="000000"/>
          <w:sz w:val="21"/>
          <w:szCs w:val="21"/>
          <w:lang w:val="es"/>
        </w:rPr>
        <w:t xml:space="preserve">. También puede acceder a la página del producto en la tienda en línea haciendo clic en el número de catálogo del producto en el </w:t>
      </w:r>
      <w:hyperlink r:id="rId8">
        <w:r w:rsidRPr="00291EF6">
          <w:rPr>
            <w:rFonts w:ascii="Arial" w:eastAsia="Arial" w:hAnsi="Arial" w:cs="Arial"/>
            <w:b/>
            <w:bCs/>
            <w:i/>
            <w:iCs/>
            <w:color w:val="FB6142"/>
            <w:sz w:val="21"/>
            <w:szCs w:val="21"/>
            <w:lang w:val="es"/>
          </w:rPr>
          <w:t>Catálogo de Estándares de Referencia USP</w:t>
        </w:r>
      </w:hyperlink>
      <w:r w:rsidRPr="00291EF6">
        <w:rPr>
          <w:rFonts w:ascii="Arial" w:eastAsia="Arial" w:hAnsi="Arial" w:cs="Arial"/>
          <w:color w:val="000000"/>
          <w:sz w:val="21"/>
          <w:szCs w:val="21"/>
          <w:lang w:val="es"/>
        </w:rPr>
        <w:t>.  Si no existe un enlace para consultar el Certificado USP correspondiente a un número de lote específico, significa que no se cuenta con un Certificado USP disponible para dicho lote.</w:t>
      </w:r>
    </w:p>
    <w:p w:rsidR="00AC60CB" w:rsidRPr="00291EF6" w:rsidRDefault="00AC60CB">
      <w:pPr>
        <w:spacing w:before="6" w:after="0" w:line="280" w:lineRule="exact"/>
        <w:rPr>
          <w:sz w:val="21"/>
          <w:szCs w:val="21"/>
          <w:lang w:val="es-ES"/>
        </w:rPr>
      </w:pPr>
    </w:p>
    <w:p w:rsidR="00AC60CB" w:rsidRPr="00291EF6" w:rsidRDefault="009F6B5C">
      <w:pPr>
        <w:spacing w:after="0" w:line="240" w:lineRule="auto"/>
        <w:ind w:left="334" w:right="191" w:firstLine="6"/>
        <w:rPr>
          <w:rFonts w:ascii="Arial" w:eastAsia="Arial" w:hAnsi="Arial" w:cs="Arial"/>
          <w:sz w:val="21"/>
          <w:szCs w:val="21"/>
          <w:lang w:val="es-ES"/>
        </w:rPr>
      </w:pPr>
      <w:r w:rsidRPr="00291EF6">
        <w:rPr>
          <w:rFonts w:ascii="Arial" w:eastAsia="Arial" w:hAnsi="Arial" w:cs="Arial"/>
          <w:sz w:val="21"/>
          <w:szCs w:val="21"/>
          <w:lang w:val="es"/>
        </w:rPr>
        <w:t>En la mayoría de los casos, el valor asignado se puede encontrar en la etiqueta del Estándar de Referencia USP. Si no se indica un valor en la etiqueta o en el Certificado USP y el Estándar de Referencia USP tiene una aplicación farmacopeica cuantitativa en USP, se asume un valor del 100,0%. Esto aplica únicamente a los Estándares de Referencia USP que se desarrollan con fines cuantitativos en los procedimientos farmacopeicos de USP. Aquellos elaborados solo con fines cualitativos no tienen asignados un valor de pureza.  Por favor, consulte las aplicaciones farmacopeicas de un Estándar de Referencia USP para determinar si el ER se usa de manera cuantitativa y/o cualitativa.</w:t>
      </w:r>
    </w:p>
    <w:p w:rsidR="00AC60CB" w:rsidRPr="00291EF6" w:rsidRDefault="00AC60CB">
      <w:pPr>
        <w:spacing w:before="1" w:after="0" w:line="200" w:lineRule="exact"/>
        <w:rPr>
          <w:sz w:val="21"/>
          <w:szCs w:val="21"/>
          <w:lang w:val="es-ES"/>
        </w:rPr>
      </w:pPr>
    </w:p>
    <w:p w:rsidR="00AC60CB" w:rsidRPr="00291EF6" w:rsidRDefault="009F6B5C">
      <w:pPr>
        <w:spacing w:after="0" w:line="240" w:lineRule="auto"/>
        <w:ind w:left="333" w:right="-20"/>
        <w:rPr>
          <w:rFonts w:ascii="Arial" w:eastAsia="Arial" w:hAnsi="Arial" w:cs="Arial"/>
          <w:sz w:val="21"/>
          <w:szCs w:val="21"/>
          <w:lang w:val="es-ES"/>
        </w:rPr>
      </w:pPr>
      <w:r w:rsidRPr="00291EF6">
        <w:rPr>
          <w:rFonts w:ascii="Arial" w:eastAsia="Arial" w:hAnsi="Arial" w:cs="Arial"/>
          <w:sz w:val="21"/>
          <w:szCs w:val="21"/>
          <w:lang w:val="es"/>
        </w:rPr>
        <w:t>Atentamente,</w:t>
      </w:r>
    </w:p>
    <w:p w:rsidR="00AC60CB" w:rsidRPr="00291EF6" w:rsidRDefault="00AC60CB">
      <w:pPr>
        <w:spacing w:before="7" w:after="0" w:line="150" w:lineRule="exact"/>
        <w:rPr>
          <w:sz w:val="21"/>
          <w:szCs w:val="21"/>
          <w:lang w:val="es-ES"/>
        </w:rPr>
      </w:pPr>
    </w:p>
    <w:p w:rsidR="00AC60CB" w:rsidRPr="00291EF6" w:rsidRDefault="00AC60CB">
      <w:pPr>
        <w:spacing w:after="0" w:line="200" w:lineRule="exact"/>
        <w:rPr>
          <w:sz w:val="21"/>
          <w:szCs w:val="21"/>
          <w:lang w:val="es-ES"/>
        </w:rPr>
      </w:pPr>
    </w:p>
    <w:p w:rsidR="00AC60CB" w:rsidRPr="00291EF6" w:rsidRDefault="00AC60CB">
      <w:pPr>
        <w:spacing w:after="0" w:line="200" w:lineRule="exact"/>
        <w:rPr>
          <w:sz w:val="21"/>
          <w:szCs w:val="21"/>
          <w:lang w:val="es-ES"/>
        </w:rPr>
      </w:pPr>
    </w:p>
    <w:p w:rsidR="00AC60CB" w:rsidRPr="00291EF6" w:rsidRDefault="00AC60CB">
      <w:pPr>
        <w:spacing w:after="0" w:line="200" w:lineRule="exact"/>
        <w:rPr>
          <w:sz w:val="21"/>
          <w:szCs w:val="21"/>
          <w:lang w:val="es-ES"/>
        </w:rPr>
      </w:pPr>
    </w:p>
    <w:p w:rsidR="00AC60CB" w:rsidRPr="00291EF6" w:rsidRDefault="00AC60CB">
      <w:pPr>
        <w:spacing w:after="0" w:line="200" w:lineRule="exact"/>
        <w:rPr>
          <w:sz w:val="21"/>
          <w:szCs w:val="21"/>
          <w:lang w:val="es-ES"/>
        </w:rPr>
      </w:pPr>
    </w:p>
    <w:p w:rsidR="00AC60CB" w:rsidRPr="00291EF6" w:rsidRDefault="009F6B5C">
      <w:pPr>
        <w:spacing w:after="0" w:line="240" w:lineRule="auto"/>
        <w:ind w:left="339" w:right="-20"/>
        <w:rPr>
          <w:rFonts w:ascii="Arial" w:eastAsia="Arial" w:hAnsi="Arial" w:cs="Arial"/>
          <w:sz w:val="21"/>
          <w:szCs w:val="21"/>
          <w:lang w:val="es-ES"/>
        </w:rPr>
      </w:pPr>
      <w:proofErr w:type="spellStart"/>
      <w:r w:rsidRPr="00291EF6">
        <w:rPr>
          <w:rFonts w:ascii="Arial" w:eastAsia="Arial" w:hAnsi="Arial" w:cs="Arial"/>
          <w:sz w:val="21"/>
          <w:szCs w:val="21"/>
          <w:lang w:val="es"/>
        </w:rPr>
        <w:t>Teri</w:t>
      </w:r>
      <w:proofErr w:type="spellEnd"/>
      <w:r w:rsidRPr="00291EF6">
        <w:rPr>
          <w:rFonts w:ascii="Arial" w:eastAsia="Arial" w:hAnsi="Arial" w:cs="Arial"/>
          <w:sz w:val="21"/>
          <w:szCs w:val="21"/>
          <w:lang w:val="es"/>
        </w:rPr>
        <w:t xml:space="preserve"> L. </w:t>
      </w:r>
      <w:proofErr w:type="spellStart"/>
      <w:r w:rsidRPr="00291EF6">
        <w:rPr>
          <w:rFonts w:ascii="Arial" w:eastAsia="Arial" w:hAnsi="Arial" w:cs="Arial"/>
          <w:sz w:val="21"/>
          <w:szCs w:val="21"/>
          <w:lang w:val="es"/>
        </w:rPr>
        <w:t>Toth</w:t>
      </w:r>
      <w:proofErr w:type="spellEnd"/>
    </w:p>
    <w:p w:rsidR="00AC60CB" w:rsidRPr="00291EF6" w:rsidRDefault="009F6B5C">
      <w:pPr>
        <w:spacing w:before="1" w:after="0" w:line="240" w:lineRule="auto"/>
        <w:ind w:left="339" w:right="-20"/>
        <w:rPr>
          <w:rFonts w:ascii="Arial" w:eastAsia="Arial" w:hAnsi="Arial" w:cs="Arial"/>
          <w:sz w:val="21"/>
          <w:szCs w:val="21"/>
          <w:lang w:val="es-ES"/>
        </w:rPr>
      </w:pPr>
      <w:r w:rsidRPr="00291EF6">
        <w:rPr>
          <w:rFonts w:ascii="Arial" w:eastAsia="Arial" w:hAnsi="Arial" w:cs="Arial"/>
          <w:sz w:val="21"/>
          <w:szCs w:val="21"/>
          <w:lang w:val="es"/>
        </w:rPr>
        <w:t>Vicepresidenta, Garantía de Calidad Global</w:t>
      </w:r>
    </w:p>
    <w:p w:rsidR="00AC60CB" w:rsidRPr="00291EF6" w:rsidRDefault="009F6B5C">
      <w:pPr>
        <w:spacing w:after="0" w:line="252" w:lineRule="exact"/>
        <w:ind w:left="339" w:right="-20"/>
        <w:rPr>
          <w:rFonts w:ascii="Arial" w:eastAsia="Arial" w:hAnsi="Arial" w:cs="Arial"/>
          <w:sz w:val="21"/>
          <w:szCs w:val="21"/>
        </w:rPr>
      </w:pPr>
      <w:r w:rsidRPr="00291EF6">
        <w:rPr>
          <w:rFonts w:ascii="Arial" w:eastAsia="Arial" w:hAnsi="Arial" w:cs="Arial"/>
          <w:sz w:val="21"/>
          <w:szCs w:val="21"/>
        </w:rPr>
        <w:t>The United States Pharmacopeial Convention</w:t>
      </w:r>
    </w:p>
    <w:p w:rsidR="00AC60CB" w:rsidRPr="00291EF6" w:rsidRDefault="009F6B5C">
      <w:pPr>
        <w:spacing w:before="4" w:after="0" w:line="240" w:lineRule="auto"/>
        <w:ind w:left="339" w:right="-20"/>
        <w:rPr>
          <w:rFonts w:ascii="Arial" w:eastAsia="Arial" w:hAnsi="Arial" w:cs="Arial"/>
          <w:sz w:val="21"/>
          <w:szCs w:val="21"/>
        </w:rPr>
      </w:pPr>
      <w:r w:rsidRPr="00291EF6">
        <w:rPr>
          <w:rFonts w:ascii="Arial" w:eastAsia="Arial" w:hAnsi="Arial" w:cs="Arial"/>
          <w:sz w:val="21"/>
          <w:szCs w:val="21"/>
        </w:rPr>
        <w:t xml:space="preserve">12601 </w:t>
      </w:r>
      <w:proofErr w:type="spellStart"/>
      <w:r w:rsidRPr="00291EF6">
        <w:rPr>
          <w:rFonts w:ascii="Arial" w:eastAsia="Arial" w:hAnsi="Arial" w:cs="Arial"/>
          <w:sz w:val="21"/>
          <w:szCs w:val="21"/>
        </w:rPr>
        <w:t>Twinbrook</w:t>
      </w:r>
      <w:proofErr w:type="spellEnd"/>
      <w:r w:rsidRPr="00291EF6">
        <w:rPr>
          <w:rFonts w:ascii="Arial" w:eastAsia="Arial" w:hAnsi="Arial" w:cs="Arial"/>
          <w:sz w:val="21"/>
          <w:szCs w:val="21"/>
        </w:rPr>
        <w:t xml:space="preserve"> Parkway</w:t>
      </w:r>
    </w:p>
    <w:p w:rsidR="00AC60CB" w:rsidRDefault="009F6B5C">
      <w:pPr>
        <w:spacing w:before="1" w:after="0" w:line="240" w:lineRule="auto"/>
        <w:ind w:left="339" w:right="-20"/>
        <w:rPr>
          <w:rFonts w:ascii="Arial" w:eastAsia="Arial" w:hAnsi="Arial" w:cs="Arial"/>
        </w:rPr>
      </w:pPr>
      <w:r w:rsidRPr="00291EF6">
        <w:rPr>
          <w:rFonts w:ascii="Arial" w:eastAsia="Arial" w:hAnsi="Arial" w:cs="Arial"/>
          <w:sz w:val="21"/>
          <w:szCs w:val="21"/>
          <w:lang w:val="es"/>
        </w:rPr>
        <w:t>Rockville</w:t>
      </w:r>
      <w:r>
        <w:rPr>
          <w:rFonts w:ascii="Arial" w:eastAsia="Arial" w:hAnsi="Arial" w:cs="Arial"/>
          <w:lang w:val="es"/>
        </w:rPr>
        <w:t>, MD 20852</w:t>
      </w:r>
    </w:p>
    <w:p w:rsidR="00AC60CB" w:rsidRDefault="009F6B5C">
      <w:pPr>
        <w:spacing w:after="0" w:line="252" w:lineRule="exact"/>
        <w:ind w:left="339" w:right="-20"/>
        <w:rPr>
          <w:rFonts w:ascii="Arial" w:eastAsia="Arial" w:hAnsi="Arial" w:cs="Arial"/>
        </w:rPr>
      </w:pPr>
      <w:r>
        <w:rPr>
          <w:rFonts w:ascii="Arial" w:eastAsia="Arial" w:hAnsi="Arial" w:cs="Arial"/>
          <w:lang w:val="es"/>
        </w:rPr>
        <w:t>USA</w:t>
      </w:r>
    </w:p>
    <w:sectPr w:rsidR="00AC60CB">
      <w:type w:val="continuous"/>
      <w:pgSz w:w="12240" w:h="15840"/>
      <w:pgMar w:top="1480" w:right="1720" w:bottom="280" w:left="1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AC60CB"/>
    <w:rsid w:val="001F166B"/>
    <w:rsid w:val="00291EF6"/>
    <w:rsid w:val="005F07C4"/>
    <w:rsid w:val="00853280"/>
    <w:rsid w:val="009F6B5C"/>
    <w:rsid w:val="00AC6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usp.org/reference-standards/reference-standards-catalog" TargetMode="External"/><Relationship Id="rId3" Type="http://schemas.openxmlformats.org/officeDocument/2006/relationships/settings" Target="settings.xml"/><Relationship Id="rId7" Type="http://schemas.openxmlformats.org/officeDocument/2006/relationships/hyperlink" Target="https://store.usp.org/OA_HTML/usp2_ibeCCtpSctDspRte.jsp?section=10042&amp;amp;minisite=1002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369</Words>
  <Characters>2106</Characters>
  <Application>Microsoft Office Word</Application>
  <DocSecurity>0</DocSecurity>
  <Lines>17</Lines>
  <Paragraphs>4</Paragraphs>
  <ScaleCrop>false</ScaleCrop>
  <Company>United States Pharmacopeia</Company>
  <LinksUpToDate>false</LinksUpToDate>
  <CharactersWithSpaces>2471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Corbin</dc:creator>
  <cp:lastModifiedBy>Nadia C. Gomez</cp:lastModifiedBy>
  <cp:revision>6</cp:revision>
  <dcterms:created xsi:type="dcterms:W3CDTF">2017-08-23T16:40:00Z</dcterms:created>
  <dcterms:modified xsi:type="dcterms:W3CDTF">2017-09-07T12:33:00Z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2017-08-08T00:00:00Z</vt:filetime>
  </property>
  <property fmtid="{D5CDD505-2E9C-101B-9397-08002B2CF9AE}" pid="3" name="LastSaved">
    <vt:filetime>2017-08-23T00:00:00Z</vt:filetime>
  </property>
</Properties>
</file>