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65" w:rsidRDefault="00C53168">
      <w:pPr>
        <w:spacing w:before="1" w:after="0" w:line="120" w:lineRule="exact"/>
        <w:rPr>
          <w:sz w:val="12"/>
          <w:szCs w:val="12"/>
        </w:rPr>
      </w:pPr>
      <w:bookmarkStart w:id="0" w:name="_GoBack"/>
      <w:r>
        <w:rPr>
          <w:lang w:val="es"/>
        </w:rPr>
        <w:pict>
          <v:group id="_x0000_s1026" style="position:absolute;margin-left:-2.5pt;margin-top:5.65pt;width:612pt;height:11in;z-index:-251658240;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240;height:15840">
              <v:imagedata r:id="rId5" o:title=""/>
            </v:shape>
            <v:shape id="_x0000_s1027" type="#_x0000_t75" style="position:absolute;left:2060;top:11635;width:2320;height:468">
              <v:imagedata r:id="rId6" o:title=""/>
            </v:shape>
            <w10:wrap anchorx="page" anchory="page"/>
          </v:group>
        </w:pict>
      </w:r>
      <w:bookmarkEnd w:id="0"/>
    </w:p>
    <w:p w:rsidR="00F42B65" w:rsidRDefault="00F42B65">
      <w:pPr>
        <w:spacing w:after="0" w:line="200" w:lineRule="exact"/>
        <w:rPr>
          <w:sz w:val="20"/>
          <w:szCs w:val="20"/>
        </w:rPr>
      </w:pPr>
    </w:p>
    <w:p w:rsidR="00F42B65" w:rsidRPr="00C53168" w:rsidRDefault="00C53168">
      <w:pPr>
        <w:spacing w:before="32" w:after="0" w:line="248" w:lineRule="exact"/>
        <w:ind w:right="143"/>
        <w:jc w:val="right"/>
        <w:rPr>
          <w:rFonts w:ascii="Arial" w:eastAsia="Arial" w:hAnsi="Arial" w:cs="Arial"/>
          <w:lang w:val="es-ES"/>
        </w:rPr>
      </w:pPr>
      <w:r>
        <w:rPr>
          <w:rFonts w:ascii="Arial" w:eastAsia="Arial" w:hAnsi="Arial" w:cs="Arial"/>
          <w:lang w:val="es"/>
        </w:rPr>
        <w:t>9 de agosto de 2017</w:t>
      </w:r>
    </w:p>
    <w:p w:rsidR="00F42B65" w:rsidRPr="00C53168" w:rsidRDefault="00F42B65">
      <w:pPr>
        <w:spacing w:after="0" w:line="200" w:lineRule="exact"/>
        <w:rPr>
          <w:sz w:val="20"/>
          <w:szCs w:val="20"/>
          <w:lang w:val="es-ES"/>
        </w:rPr>
      </w:pPr>
    </w:p>
    <w:p w:rsidR="00F42B65" w:rsidRPr="00C53168" w:rsidRDefault="00F42B65">
      <w:pPr>
        <w:spacing w:before="11" w:after="0" w:line="260" w:lineRule="exact"/>
        <w:rPr>
          <w:sz w:val="21"/>
          <w:szCs w:val="21"/>
          <w:lang w:val="es-ES"/>
        </w:rPr>
      </w:pPr>
    </w:p>
    <w:p w:rsidR="00F42B65" w:rsidRPr="00C53168" w:rsidRDefault="00C53168">
      <w:pPr>
        <w:spacing w:before="32" w:after="0" w:line="240" w:lineRule="auto"/>
        <w:ind w:left="339" w:right="-20"/>
        <w:rPr>
          <w:rFonts w:ascii="Arial" w:eastAsia="Arial" w:hAnsi="Arial" w:cs="Arial"/>
          <w:sz w:val="21"/>
          <w:szCs w:val="21"/>
          <w:lang w:val="es-ES"/>
        </w:rPr>
      </w:pPr>
      <w:r w:rsidRPr="00C53168">
        <w:rPr>
          <w:rFonts w:ascii="Arial" w:eastAsia="Arial" w:hAnsi="Arial" w:cs="Arial"/>
          <w:sz w:val="21"/>
          <w:szCs w:val="21"/>
          <w:lang w:val="es"/>
        </w:rPr>
        <w:t>Efectivo: 9 de agosto de 2017, hasta ser reemplazado</w:t>
      </w:r>
    </w:p>
    <w:p w:rsidR="00F42B65" w:rsidRPr="00C53168" w:rsidRDefault="00F42B65">
      <w:pPr>
        <w:spacing w:before="19" w:after="0" w:line="220" w:lineRule="exact"/>
        <w:rPr>
          <w:sz w:val="21"/>
          <w:szCs w:val="21"/>
          <w:lang w:val="es-ES"/>
        </w:rPr>
      </w:pPr>
    </w:p>
    <w:p w:rsidR="00F42B65" w:rsidRPr="00C53168" w:rsidRDefault="00C53168">
      <w:pPr>
        <w:tabs>
          <w:tab w:val="left" w:pos="1500"/>
        </w:tabs>
        <w:spacing w:after="0" w:line="240" w:lineRule="auto"/>
        <w:ind w:left="339" w:right="-20"/>
        <w:rPr>
          <w:rFonts w:ascii="Arial" w:eastAsia="Arial" w:hAnsi="Arial" w:cs="Arial"/>
          <w:sz w:val="21"/>
          <w:szCs w:val="21"/>
          <w:lang w:val="es-ES"/>
        </w:rPr>
      </w:pPr>
      <w:r w:rsidRPr="00C53168">
        <w:rPr>
          <w:rFonts w:ascii="Arial" w:eastAsia="Arial" w:hAnsi="Arial" w:cs="Arial"/>
          <w:b/>
          <w:bCs/>
          <w:sz w:val="21"/>
          <w:szCs w:val="21"/>
          <w:lang w:val="es"/>
        </w:rPr>
        <w:t>Asunto:</w:t>
      </w:r>
      <w:r w:rsidRPr="00C53168">
        <w:rPr>
          <w:rFonts w:ascii="Arial" w:eastAsia="Arial" w:hAnsi="Arial" w:cs="Arial"/>
          <w:b/>
          <w:bCs/>
          <w:sz w:val="21"/>
          <w:szCs w:val="21"/>
          <w:lang w:val="es"/>
        </w:rPr>
        <w:tab/>
        <w:t>Usos y Aplicaciones de los Estándares de Referencia USP</w:t>
      </w:r>
    </w:p>
    <w:p w:rsidR="00F42B65" w:rsidRPr="00C53168" w:rsidRDefault="00F42B65">
      <w:pPr>
        <w:spacing w:before="19" w:after="0" w:line="220" w:lineRule="exact"/>
        <w:rPr>
          <w:sz w:val="21"/>
          <w:szCs w:val="21"/>
          <w:lang w:val="es-ES"/>
        </w:rPr>
      </w:pPr>
    </w:p>
    <w:p w:rsidR="00F42B65" w:rsidRPr="00C53168" w:rsidRDefault="00C53168">
      <w:pPr>
        <w:spacing w:after="0" w:line="240" w:lineRule="auto"/>
        <w:ind w:left="339" w:right="-20"/>
        <w:rPr>
          <w:rFonts w:ascii="Arial" w:eastAsia="Arial" w:hAnsi="Arial" w:cs="Arial"/>
          <w:sz w:val="21"/>
          <w:szCs w:val="21"/>
          <w:lang w:val="es-ES"/>
        </w:rPr>
      </w:pPr>
      <w:r w:rsidRPr="00C53168">
        <w:rPr>
          <w:rFonts w:ascii="Arial" w:eastAsia="Arial" w:hAnsi="Arial" w:cs="Arial"/>
          <w:sz w:val="21"/>
          <w:szCs w:val="21"/>
          <w:lang w:val="es"/>
        </w:rPr>
        <w:t>Estimado Usuario de USP,</w:t>
      </w:r>
    </w:p>
    <w:p w:rsidR="00F42B65" w:rsidRPr="00C53168" w:rsidRDefault="00F42B65">
      <w:pPr>
        <w:spacing w:before="7" w:after="0" w:line="150" w:lineRule="exact"/>
        <w:rPr>
          <w:sz w:val="21"/>
          <w:szCs w:val="21"/>
          <w:lang w:val="es-ES"/>
        </w:rPr>
      </w:pPr>
    </w:p>
    <w:p w:rsidR="00F42B65" w:rsidRPr="00C53168" w:rsidRDefault="00F42B65">
      <w:pPr>
        <w:spacing w:after="0" w:line="200" w:lineRule="exact"/>
        <w:rPr>
          <w:sz w:val="21"/>
          <w:szCs w:val="21"/>
          <w:lang w:val="es-ES"/>
        </w:rPr>
      </w:pPr>
    </w:p>
    <w:p w:rsidR="00F42B65" w:rsidRPr="00C53168" w:rsidRDefault="00C53168">
      <w:pPr>
        <w:spacing w:after="0" w:line="240" w:lineRule="auto"/>
        <w:ind w:left="334" w:right="399" w:firstLine="4"/>
        <w:rPr>
          <w:rFonts w:ascii="Arial" w:eastAsia="Arial" w:hAnsi="Arial" w:cs="Arial"/>
          <w:sz w:val="21"/>
          <w:szCs w:val="21"/>
          <w:lang w:val="es-ES"/>
        </w:rPr>
      </w:pPr>
      <w:r w:rsidRPr="00C53168">
        <w:rPr>
          <w:rFonts w:ascii="Arial" w:eastAsia="Arial" w:hAnsi="Arial" w:cs="Arial"/>
          <w:sz w:val="21"/>
          <w:szCs w:val="21"/>
          <w:lang w:val="es"/>
        </w:rPr>
        <w:t xml:space="preserve">Los Estándares de Referencia USP no están destinados para uso como medicamentos o dispositivos médicos en humanos o animales. Están destinados a usarse únicamente en pruebas y valoraciones relacionadas con las aplicaciones farmacopeicas de la USP.  Además </w:t>
      </w:r>
      <w:r w:rsidRPr="00C53168">
        <w:rPr>
          <w:rFonts w:ascii="Arial" w:eastAsia="Arial" w:hAnsi="Arial" w:cs="Arial"/>
          <w:sz w:val="21"/>
          <w:szCs w:val="21"/>
          <w:lang w:val="es"/>
        </w:rPr>
        <w:t>de estas aplicaciones, los Estándares de Referencia USP se pueden usar para aplicaciones analíticas y de laboratorio, pero es responsabilidad del usuario determinar la aptitud de los estándares para propósitos no farmacopeicos. Todas las instrucciones disp</w:t>
      </w:r>
      <w:r w:rsidRPr="00C53168">
        <w:rPr>
          <w:rFonts w:ascii="Arial" w:eastAsia="Arial" w:hAnsi="Arial" w:cs="Arial"/>
          <w:sz w:val="21"/>
          <w:szCs w:val="21"/>
          <w:lang w:val="es"/>
        </w:rPr>
        <w:t>onibles acerca del uso previsto se proveen en las aplicaciones farmacopeicas de USP, en la etiqueta del Estándar de Referencia USP y en el Certificado USP correspondiente, si estuviera disponible.</w:t>
      </w:r>
    </w:p>
    <w:p w:rsidR="00F42B65" w:rsidRPr="00C53168" w:rsidRDefault="00F42B65">
      <w:pPr>
        <w:spacing w:before="13" w:after="0" w:line="240" w:lineRule="exact"/>
        <w:rPr>
          <w:sz w:val="21"/>
          <w:szCs w:val="21"/>
          <w:lang w:val="es-ES"/>
        </w:rPr>
      </w:pPr>
    </w:p>
    <w:p w:rsidR="00F42B65" w:rsidRPr="00C53168" w:rsidRDefault="00C53168">
      <w:pPr>
        <w:spacing w:after="0" w:line="240" w:lineRule="auto"/>
        <w:ind w:left="334" w:right="470"/>
        <w:rPr>
          <w:rFonts w:ascii="Arial" w:eastAsia="Arial" w:hAnsi="Arial" w:cs="Arial"/>
          <w:sz w:val="21"/>
          <w:szCs w:val="21"/>
          <w:lang w:val="es-ES"/>
        </w:rPr>
      </w:pPr>
      <w:r w:rsidRPr="00C53168">
        <w:rPr>
          <w:rFonts w:ascii="Arial" w:eastAsia="Arial" w:hAnsi="Arial" w:cs="Arial"/>
          <w:sz w:val="21"/>
          <w:szCs w:val="21"/>
          <w:lang w:val="es"/>
        </w:rPr>
        <w:t>Un Estándar de Referencia USP se considera parte del método oficial cuando se menciona explícitamente en una monografía farmacopeica USP oficial.  En caso de una disputa, la monografía USP con sus Estándares de Referencia USP relacionados  determina la con</w:t>
      </w:r>
      <w:r w:rsidRPr="00C53168">
        <w:rPr>
          <w:rFonts w:ascii="Arial" w:eastAsia="Arial" w:hAnsi="Arial" w:cs="Arial"/>
          <w:sz w:val="21"/>
          <w:szCs w:val="21"/>
          <w:lang w:val="es"/>
        </w:rPr>
        <w:t>formidad.  La USP no puede hacer comentarios acerca del uso de un estándar secundario en lugar del Estándar de Referencia USP (estándar primario) especificado en una monografía farmacopeica USP.</w:t>
      </w:r>
    </w:p>
    <w:p w:rsidR="00F42B65" w:rsidRPr="00C53168" w:rsidRDefault="00F42B65">
      <w:pPr>
        <w:spacing w:before="14" w:after="0" w:line="240" w:lineRule="exact"/>
        <w:rPr>
          <w:sz w:val="21"/>
          <w:szCs w:val="21"/>
          <w:lang w:val="es-ES"/>
        </w:rPr>
      </w:pPr>
    </w:p>
    <w:p w:rsidR="00F42B65" w:rsidRPr="00C53168" w:rsidRDefault="00C53168">
      <w:pPr>
        <w:spacing w:after="0" w:line="239" w:lineRule="auto"/>
        <w:ind w:left="334" w:right="364"/>
        <w:rPr>
          <w:rFonts w:ascii="Arial" w:eastAsia="Arial" w:hAnsi="Arial" w:cs="Arial"/>
          <w:sz w:val="21"/>
          <w:szCs w:val="21"/>
          <w:lang w:val="es-ES"/>
        </w:rPr>
      </w:pPr>
      <w:r w:rsidRPr="00C53168">
        <w:rPr>
          <w:rFonts w:ascii="Arial" w:eastAsia="Arial" w:hAnsi="Arial" w:cs="Arial"/>
          <w:sz w:val="21"/>
          <w:szCs w:val="21"/>
          <w:lang w:val="es"/>
        </w:rPr>
        <w:t>Los Estándares de Referencia USP se consideran estándares pr</w:t>
      </w:r>
      <w:r w:rsidRPr="00C53168">
        <w:rPr>
          <w:rFonts w:ascii="Arial" w:eastAsia="Arial" w:hAnsi="Arial" w:cs="Arial"/>
          <w:sz w:val="21"/>
          <w:szCs w:val="21"/>
          <w:lang w:val="es"/>
        </w:rPr>
        <w:t>imarios, con la excepción de algunos Estándares de Referencia USP biológicos con unidades de actividad que se establecen en referencia a los Estándares Internacionales de la Organización Mundial de la Salud y son rastreables a los mismos. La USP no desarro</w:t>
      </w:r>
      <w:r w:rsidRPr="00C53168">
        <w:rPr>
          <w:rFonts w:ascii="Arial" w:eastAsia="Arial" w:hAnsi="Arial" w:cs="Arial"/>
          <w:sz w:val="21"/>
          <w:szCs w:val="21"/>
          <w:lang w:val="es"/>
        </w:rPr>
        <w:t>lla estándares de referencia secundarios comparados con sus propios estándares de referencia primarios.  La USP no provee guías sobre la calificación o uso de dichos estándares de referencia secundarios y no puede hacer comentarios acerca de su uso en luga</w:t>
      </w:r>
      <w:r w:rsidRPr="00C53168">
        <w:rPr>
          <w:rFonts w:ascii="Arial" w:eastAsia="Arial" w:hAnsi="Arial" w:cs="Arial"/>
          <w:sz w:val="21"/>
          <w:szCs w:val="21"/>
          <w:lang w:val="es"/>
        </w:rPr>
        <w:t xml:space="preserve">r del Estándar de Referencia USP (estándar primario) especificado en una monografía farmacopeica USP.  Para preguntas sobre el uso de estándares de referencia primarios vs. </w:t>
      </w:r>
      <w:proofErr w:type="gramStart"/>
      <w:r w:rsidRPr="00C53168">
        <w:rPr>
          <w:rFonts w:ascii="Arial" w:eastAsia="Arial" w:hAnsi="Arial" w:cs="Arial"/>
          <w:sz w:val="21"/>
          <w:szCs w:val="21"/>
          <w:lang w:val="es"/>
        </w:rPr>
        <w:t>secundarios</w:t>
      </w:r>
      <w:proofErr w:type="gramEnd"/>
      <w:r w:rsidRPr="00C53168">
        <w:rPr>
          <w:rFonts w:ascii="Arial" w:eastAsia="Arial" w:hAnsi="Arial" w:cs="Arial"/>
          <w:sz w:val="21"/>
          <w:szCs w:val="21"/>
          <w:lang w:val="es"/>
        </w:rPr>
        <w:t xml:space="preserve"> y las implicaciones relacionadas con el cumplimiento, se recomienda a l</w:t>
      </w:r>
      <w:r w:rsidRPr="00C53168">
        <w:rPr>
          <w:rFonts w:ascii="Arial" w:eastAsia="Arial" w:hAnsi="Arial" w:cs="Arial"/>
          <w:sz w:val="21"/>
          <w:szCs w:val="21"/>
          <w:lang w:val="es"/>
        </w:rPr>
        <w:t>os usuarios consultar y pedir orientación a la autoridad reglamentaria del lugar donde se comercializan sus productos.</w:t>
      </w:r>
    </w:p>
    <w:p w:rsidR="00F42B65" w:rsidRPr="00C53168" w:rsidRDefault="00F42B65">
      <w:pPr>
        <w:spacing w:before="1" w:after="0" w:line="200" w:lineRule="exact"/>
        <w:rPr>
          <w:sz w:val="21"/>
          <w:szCs w:val="21"/>
          <w:lang w:val="es-ES"/>
        </w:rPr>
      </w:pPr>
    </w:p>
    <w:p w:rsidR="00F42B65" w:rsidRPr="00C53168" w:rsidRDefault="00C53168">
      <w:pPr>
        <w:spacing w:after="0" w:line="240" w:lineRule="auto"/>
        <w:ind w:left="334" w:right="-20"/>
        <w:rPr>
          <w:rFonts w:ascii="Arial" w:eastAsia="Arial" w:hAnsi="Arial" w:cs="Arial"/>
          <w:sz w:val="21"/>
          <w:szCs w:val="21"/>
          <w:lang w:val="es-ES"/>
        </w:rPr>
      </w:pPr>
      <w:r w:rsidRPr="00C53168">
        <w:rPr>
          <w:rFonts w:ascii="Arial" w:eastAsia="Arial" w:hAnsi="Arial" w:cs="Arial"/>
          <w:sz w:val="21"/>
          <w:szCs w:val="21"/>
          <w:lang w:val="es"/>
        </w:rPr>
        <w:t>Atentamente,</w:t>
      </w:r>
    </w:p>
    <w:p w:rsidR="00F42B65" w:rsidRPr="00C53168" w:rsidRDefault="00F42B65">
      <w:pPr>
        <w:spacing w:after="0" w:line="160" w:lineRule="exact"/>
        <w:rPr>
          <w:sz w:val="21"/>
          <w:szCs w:val="21"/>
          <w:lang w:val="es-ES"/>
        </w:rPr>
      </w:pPr>
    </w:p>
    <w:p w:rsidR="00F42B65" w:rsidRPr="00C53168" w:rsidRDefault="00F42B65">
      <w:pPr>
        <w:spacing w:after="0" w:line="200" w:lineRule="exact"/>
        <w:rPr>
          <w:sz w:val="21"/>
          <w:szCs w:val="21"/>
          <w:lang w:val="es-ES"/>
        </w:rPr>
      </w:pPr>
    </w:p>
    <w:p w:rsidR="00F42B65" w:rsidRPr="00C53168" w:rsidRDefault="00F42B65">
      <w:pPr>
        <w:spacing w:after="0" w:line="200" w:lineRule="exact"/>
        <w:rPr>
          <w:sz w:val="21"/>
          <w:szCs w:val="21"/>
          <w:lang w:val="es-ES"/>
        </w:rPr>
      </w:pPr>
    </w:p>
    <w:p w:rsidR="00F42B65" w:rsidRPr="00C53168" w:rsidRDefault="00F42B65">
      <w:pPr>
        <w:spacing w:after="0" w:line="200" w:lineRule="exact"/>
        <w:rPr>
          <w:sz w:val="21"/>
          <w:szCs w:val="21"/>
          <w:lang w:val="es-ES"/>
        </w:rPr>
      </w:pPr>
    </w:p>
    <w:p w:rsidR="00F42B65" w:rsidRPr="00C53168" w:rsidRDefault="00F42B65">
      <w:pPr>
        <w:spacing w:after="0" w:line="200" w:lineRule="exact"/>
        <w:rPr>
          <w:sz w:val="21"/>
          <w:szCs w:val="21"/>
          <w:lang w:val="es-ES"/>
        </w:rPr>
      </w:pPr>
    </w:p>
    <w:p w:rsidR="00F42B65" w:rsidRPr="00C53168" w:rsidRDefault="00C53168">
      <w:pPr>
        <w:spacing w:after="0" w:line="240" w:lineRule="auto"/>
        <w:ind w:left="339" w:right="-20"/>
        <w:rPr>
          <w:rFonts w:ascii="Arial" w:eastAsia="Arial" w:hAnsi="Arial" w:cs="Arial"/>
          <w:sz w:val="21"/>
          <w:szCs w:val="21"/>
          <w:lang w:val="es-ES"/>
        </w:rPr>
      </w:pPr>
      <w:proofErr w:type="spellStart"/>
      <w:r w:rsidRPr="00C53168">
        <w:rPr>
          <w:rFonts w:ascii="Arial" w:eastAsia="Arial" w:hAnsi="Arial" w:cs="Arial"/>
          <w:sz w:val="21"/>
          <w:szCs w:val="21"/>
          <w:lang w:val="es"/>
        </w:rPr>
        <w:t>Teri</w:t>
      </w:r>
      <w:proofErr w:type="spellEnd"/>
      <w:r w:rsidRPr="00C53168">
        <w:rPr>
          <w:rFonts w:ascii="Arial" w:eastAsia="Arial" w:hAnsi="Arial" w:cs="Arial"/>
          <w:sz w:val="21"/>
          <w:szCs w:val="21"/>
          <w:lang w:val="es"/>
        </w:rPr>
        <w:t xml:space="preserve"> L. </w:t>
      </w:r>
      <w:proofErr w:type="spellStart"/>
      <w:r w:rsidRPr="00C53168">
        <w:rPr>
          <w:rFonts w:ascii="Arial" w:eastAsia="Arial" w:hAnsi="Arial" w:cs="Arial"/>
          <w:sz w:val="21"/>
          <w:szCs w:val="21"/>
          <w:lang w:val="es"/>
        </w:rPr>
        <w:t>Toth</w:t>
      </w:r>
      <w:proofErr w:type="spellEnd"/>
    </w:p>
    <w:p w:rsidR="00F42B65" w:rsidRPr="00C53168" w:rsidRDefault="00C53168">
      <w:pPr>
        <w:spacing w:after="0" w:line="252" w:lineRule="exact"/>
        <w:ind w:left="339" w:right="-20"/>
        <w:rPr>
          <w:rFonts w:ascii="Arial" w:eastAsia="Arial" w:hAnsi="Arial" w:cs="Arial"/>
          <w:sz w:val="21"/>
          <w:szCs w:val="21"/>
          <w:lang w:val="es-ES"/>
        </w:rPr>
      </w:pPr>
      <w:r w:rsidRPr="00C53168">
        <w:rPr>
          <w:rFonts w:ascii="Arial" w:eastAsia="Arial" w:hAnsi="Arial" w:cs="Arial"/>
          <w:sz w:val="21"/>
          <w:szCs w:val="21"/>
          <w:lang w:val="es"/>
        </w:rPr>
        <w:t>Vicepresidenta, Garantía de Calidad Global</w:t>
      </w:r>
    </w:p>
    <w:p w:rsidR="00F42B65" w:rsidRPr="00C53168" w:rsidRDefault="00C53168">
      <w:pPr>
        <w:spacing w:before="1" w:after="0" w:line="240" w:lineRule="auto"/>
        <w:ind w:left="339" w:right="-20"/>
        <w:rPr>
          <w:rFonts w:ascii="Arial" w:eastAsia="Arial" w:hAnsi="Arial" w:cs="Arial"/>
          <w:sz w:val="21"/>
          <w:szCs w:val="21"/>
        </w:rPr>
      </w:pPr>
      <w:r w:rsidRPr="00C53168">
        <w:rPr>
          <w:rFonts w:ascii="Arial" w:eastAsia="Arial" w:hAnsi="Arial" w:cs="Arial"/>
          <w:sz w:val="21"/>
          <w:szCs w:val="21"/>
        </w:rPr>
        <w:t>The United States Pharmacopeial Convention</w:t>
      </w:r>
    </w:p>
    <w:p w:rsidR="00F42B65" w:rsidRPr="00C53168" w:rsidRDefault="00C53168">
      <w:pPr>
        <w:spacing w:before="1" w:after="0" w:line="240" w:lineRule="auto"/>
        <w:ind w:left="339" w:right="-20"/>
        <w:rPr>
          <w:rFonts w:ascii="Arial" w:eastAsia="Arial" w:hAnsi="Arial" w:cs="Arial"/>
          <w:sz w:val="21"/>
          <w:szCs w:val="21"/>
        </w:rPr>
      </w:pPr>
      <w:r w:rsidRPr="00C53168">
        <w:rPr>
          <w:rFonts w:ascii="Arial" w:eastAsia="Arial" w:hAnsi="Arial" w:cs="Arial"/>
          <w:sz w:val="21"/>
          <w:szCs w:val="21"/>
        </w:rPr>
        <w:t xml:space="preserve">12601 </w:t>
      </w:r>
      <w:proofErr w:type="spellStart"/>
      <w:r w:rsidRPr="00C53168">
        <w:rPr>
          <w:rFonts w:ascii="Arial" w:eastAsia="Arial" w:hAnsi="Arial" w:cs="Arial"/>
          <w:sz w:val="21"/>
          <w:szCs w:val="21"/>
        </w:rPr>
        <w:t>Twinbrook</w:t>
      </w:r>
      <w:proofErr w:type="spellEnd"/>
      <w:r w:rsidRPr="00C53168">
        <w:rPr>
          <w:rFonts w:ascii="Arial" w:eastAsia="Arial" w:hAnsi="Arial" w:cs="Arial"/>
          <w:sz w:val="21"/>
          <w:szCs w:val="21"/>
        </w:rPr>
        <w:t xml:space="preserve"> Parkway</w:t>
      </w:r>
    </w:p>
    <w:p w:rsidR="00F42B65" w:rsidRPr="00C53168" w:rsidRDefault="00C53168">
      <w:pPr>
        <w:spacing w:before="1" w:after="0" w:line="240" w:lineRule="auto"/>
        <w:ind w:left="339" w:right="-20"/>
        <w:rPr>
          <w:rFonts w:ascii="Arial" w:eastAsia="Arial" w:hAnsi="Arial" w:cs="Arial"/>
          <w:sz w:val="21"/>
          <w:szCs w:val="21"/>
        </w:rPr>
      </w:pPr>
      <w:r w:rsidRPr="00C53168">
        <w:rPr>
          <w:rFonts w:ascii="Arial" w:eastAsia="Arial" w:hAnsi="Arial" w:cs="Arial"/>
          <w:sz w:val="21"/>
          <w:szCs w:val="21"/>
          <w:lang w:val="es"/>
        </w:rPr>
        <w:t>Rockville, MD 20852</w:t>
      </w:r>
    </w:p>
    <w:p w:rsidR="00F42B65" w:rsidRPr="00C53168" w:rsidRDefault="00C53168">
      <w:pPr>
        <w:spacing w:after="0" w:line="252" w:lineRule="exact"/>
        <w:ind w:left="339" w:right="-20"/>
        <w:rPr>
          <w:rFonts w:ascii="Arial" w:eastAsia="Arial" w:hAnsi="Arial" w:cs="Arial"/>
          <w:sz w:val="21"/>
          <w:szCs w:val="21"/>
        </w:rPr>
      </w:pPr>
      <w:r w:rsidRPr="00C53168">
        <w:rPr>
          <w:rFonts w:ascii="Arial" w:eastAsia="Arial" w:hAnsi="Arial" w:cs="Arial"/>
          <w:sz w:val="21"/>
          <w:szCs w:val="21"/>
          <w:lang w:val="es"/>
        </w:rPr>
        <w:t>USA</w:t>
      </w:r>
    </w:p>
    <w:sectPr w:rsidR="00F42B65" w:rsidRPr="00C53168">
      <w:type w:val="continuous"/>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42B65"/>
    <w:rsid w:val="00C53168"/>
    <w:rsid w:val="00F4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2081</Characters>
  <Application>Microsoft Office Word</Application>
  <DocSecurity>0</DocSecurity>
  <Lines>17</Lines>
  <Paragraphs>4</Paragraphs>
  <ScaleCrop>false</ScaleCrop>
  <Company>United States Pharmacopeia</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Corbin</dc:creator>
  <cp:lastModifiedBy>Nadia C. Gomez</cp:lastModifiedBy>
  <cp:revision>2</cp:revision>
  <dcterms:created xsi:type="dcterms:W3CDTF">2017-08-15T15:49:00Z</dcterms:created>
  <dcterms:modified xsi:type="dcterms:W3CDTF">2017-09-07T12:28:00Z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LastSaved">
    <vt:filetime>2017-08-15T00:00:00Z</vt:filetime>
  </property>
</Properties>
</file>