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8C" w:rsidRPr="00562944" w:rsidRDefault="00562944">
      <w:pPr>
        <w:spacing w:before="85" w:after="0" w:line="248" w:lineRule="exact"/>
        <w:ind w:right="109"/>
        <w:jc w:val="right"/>
        <w:rPr>
          <w:rFonts w:ascii="Arial" w:eastAsia="Arial" w:hAnsi="Arial" w:cs="Arial"/>
          <w:sz w:val="21"/>
          <w:szCs w:val="21"/>
          <w:lang w:val="es-ES"/>
        </w:rPr>
      </w:pPr>
      <w:bookmarkStart w:id="0" w:name="_GoBack"/>
      <w:r w:rsidRPr="00562944">
        <w:rPr>
          <w:sz w:val="21"/>
          <w:szCs w:val="21"/>
        </w:rPr>
        <w:pict>
          <v:group id="_x0000_s1026" style="position:absolute;left:0;text-align:left;margin-left:1.85pt;margin-top:15.65pt;width:612pt;height:11in;z-index:-251658240;mso-position-horizontal-relative:page;mso-position-vertical-relative:page"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240;height:15840">
              <v:imagedata r:id="rId5" o:title=""/>
            </v:shape>
            <v:shape id="_x0000_s1027" type="#_x0000_t75" style="position:absolute;left:1670;top:12190;width:2323;height:465">
              <v:imagedata r:id="rId6" o:title=""/>
            </v:shape>
            <w10:wrap anchorx="page" anchory="page"/>
          </v:group>
        </w:pict>
      </w:r>
      <w:bookmarkEnd w:id="0"/>
      <w:r w:rsidRPr="00562944">
        <w:rPr>
          <w:rFonts w:ascii="Arial" w:hAnsi="Arial"/>
          <w:sz w:val="21"/>
          <w:szCs w:val="21"/>
          <w:lang w:val="es"/>
        </w:rPr>
        <w:t>09 de agosto de 2017</w:t>
      </w:r>
    </w:p>
    <w:p w:rsidR="00E0198C" w:rsidRPr="00562944" w:rsidRDefault="00E0198C">
      <w:pPr>
        <w:spacing w:before="1" w:after="0" w:line="190" w:lineRule="exact"/>
        <w:rPr>
          <w:sz w:val="21"/>
          <w:szCs w:val="21"/>
          <w:lang w:val="es-ES"/>
        </w:rPr>
      </w:pPr>
    </w:p>
    <w:p w:rsidR="00E0198C" w:rsidRPr="00562944" w:rsidRDefault="00E0198C">
      <w:pPr>
        <w:spacing w:after="0" w:line="200" w:lineRule="exact"/>
        <w:rPr>
          <w:sz w:val="21"/>
          <w:szCs w:val="21"/>
          <w:lang w:val="es-ES"/>
        </w:rPr>
      </w:pPr>
    </w:p>
    <w:p w:rsidR="00E0198C" w:rsidRPr="00562944" w:rsidRDefault="00562944">
      <w:pPr>
        <w:spacing w:before="32" w:after="0" w:line="240" w:lineRule="auto"/>
        <w:ind w:left="120" w:right="-20"/>
        <w:rPr>
          <w:rFonts w:ascii="Arial" w:eastAsia="Arial" w:hAnsi="Arial" w:cs="Arial"/>
          <w:sz w:val="21"/>
          <w:szCs w:val="21"/>
          <w:lang w:val="es-ES"/>
        </w:rPr>
      </w:pPr>
      <w:r w:rsidRPr="00562944">
        <w:rPr>
          <w:rFonts w:ascii="Arial" w:eastAsia="Arial" w:hAnsi="Arial" w:cs="Arial"/>
          <w:sz w:val="21"/>
          <w:szCs w:val="21"/>
          <w:lang w:val="es"/>
        </w:rPr>
        <w:t>Efectivo: 9 de agosto de 2017, hasta ser reemplazado</w:t>
      </w:r>
    </w:p>
    <w:p w:rsidR="00E0198C" w:rsidRPr="00562944" w:rsidRDefault="00E0198C">
      <w:pPr>
        <w:spacing w:before="19" w:after="0" w:line="220" w:lineRule="exact"/>
        <w:rPr>
          <w:sz w:val="21"/>
          <w:szCs w:val="21"/>
          <w:lang w:val="es-ES"/>
        </w:rPr>
      </w:pPr>
    </w:p>
    <w:p w:rsidR="00E0198C" w:rsidRPr="00562944" w:rsidRDefault="00562944">
      <w:pPr>
        <w:spacing w:after="0" w:line="240" w:lineRule="auto"/>
        <w:ind w:left="120" w:right="-20"/>
        <w:rPr>
          <w:rFonts w:ascii="Arial" w:eastAsia="Arial" w:hAnsi="Arial" w:cs="Arial"/>
          <w:sz w:val="21"/>
          <w:szCs w:val="21"/>
          <w:lang w:val="es-ES"/>
        </w:rPr>
      </w:pPr>
      <w:r>
        <w:rPr>
          <w:rFonts w:ascii="Arial" w:eastAsia="Arial" w:hAnsi="Arial" w:cs="Arial"/>
          <w:b/>
          <w:bCs/>
          <w:sz w:val="21"/>
          <w:szCs w:val="21"/>
          <w:lang w:val="es"/>
        </w:rPr>
        <w:t>Asunto:</w:t>
      </w:r>
      <w:r w:rsidRPr="00562944">
        <w:rPr>
          <w:rFonts w:ascii="Arial" w:eastAsia="Arial" w:hAnsi="Arial" w:cs="Arial"/>
          <w:b/>
          <w:bCs/>
          <w:sz w:val="21"/>
          <w:szCs w:val="21"/>
          <w:lang w:val="es"/>
        </w:rPr>
        <w:t xml:space="preserve"> Condiciones de Transporte y Almacenamiento para los Estándares de Referencia USP</w:t>
      </w:r>
    </w:p>
    <w:p w:rsidR="00E0198C" w:rsidRPr="00562944" w:rsidRDefault="00E0198C">
      <w:pPr>
        <w:spacing w:before="1" w:after="0" w:line="240" w:lineRule="exact"/>
        <w:rPr>
          <w:sz w:val="21"/>
          <w:szCs w:val="21"/>
          <w:lang w:val="es-ES"/>
        </w:rPr>
      </w:pPr>
    </w:p>
    <w:p w:rsidR="00E0198C" w:rsidRPr="00562944" w:rsidRDefault="00562944">
      <w:pPr>
        <w:spacing w:after="0" w:line="240" w:lineRule="auto"/>
        <w:ind w:left="120" w:right="-20"/>
        <w:rPr>
          <w:rFonts w:ascii="Arial" w:eastAsia="Arial" w:hAnsi="Arial" w:cs="Arial"/>
          <w:sz w:val="21"/>
          <w:szCs w:val="21"/>
          <w:lang w:val="es-ES"/>
        </w:rPr>
      </w:pPr>
      <w:r w:rsidRPr="00562944">
        <w:rPr>
          <w:rFonts w:ascii="Arial" w:eastAsia="Arial" w:hAnsi="Arial" w:cs="Arial"/>
          <w:sz w:val="21"/>
          <w:szCs w:val="21"/>
          <w:lang w:val="es"/>
        </w:rPr>
        <w:t>Estimado Usuario de USP,</w:t>
      </w:r>
    </w:p>
    <w:p w:rsidR="00E0198C" w:rsidRPr="00562944" w:rsidRDefault="00E0198C">
      <w:pPr>
        <w:spacing w:before="19" w:after="0" w:line="220" w:lineRule="exact"/>
        <w:rPr>
          <w:sz w:val="21"/>
          <w:szCs w:val="21"/>
          <w:lang w:val="es-ES"/>
        </w:rPr>
      </w:pPr>
    </w:p>
    <w:p w:rsidR="00E0198C" w:rsidRPr="00562944" w:rsidRDefault="00562944">
      <w:pPr>
        <w:spacing w:after="0" w:line="275" w:lineRule="auto"/>
        <w:ind w:left="116" w:right="144" w:firstLine="3"/>
        <w:rPr>
          <w:rFonts w:ascii="Arial" w:eastAsia="Arial" w:hAnsi="Arial" w:cs="Arial"/>
          <w:sz w:val="21"/>
          <w:szCs w:val="21"/>
          <w:lang w:val="es-ES"/>
        </w:rPr>
      </w:pPr>
      <w:r w:rsidRPr="00562944">
        <w:rPr>
          <w:rFonts w:ascii="Arial" w:eastAsia="Arial" w:hAnsi="Arial" w:cs="Arial"/>
          <w:sz w:val="21"/>
          <w:szCs w:val="21"/>
          <w:lang w:val="es"/>
        </w:rPr>
        <w:t>Los Estándares de Referencia USP no suelen transportarse con hielo o en condiciones refrigeradas, independientemente  de las condiciones de almacenamiento indicadas en la etiqueta.  Las condiciones de transporte se determinan en función de los datos de est</w:t>
      </w:r>
      <w:r w:rsidRPr="00562944">
        <w:rPr>
          <w:rFonts w:ascii="Arial" w:eastAsia="Arial" w:hAnsi="Arial" w:cs="Arial"/>
          <w:sz w:val="21"/>
          <w:szCs w:val="21"/>
          <w:lang w:val="es"/>
        </w:rPr>
        <w:t>abilidad de cada Estándar de Referencia USP y los tiempos de tránsito. Si la evidencia científica indica la necesidad de transportar un Estándar de Referencia USP con paquetes refrigerantes o hielo seco, la USP procederá a hacerlo de esa manera.  Para esto</w:t>
      </w:r>
      <w:r w:rsidRPr="00562944">
        <w:rPr>
          <w:rFonts w:ascii="Arial" w:eastAsia="Arial" w:hAnsi="Arial" w:cs="Arial"/>
          <w:sz w:val="21"/>
          <w:szCs w:val="21"/>
          <w:lang w:val="es"/>
        </w:rPr>
        <w:t>s productos, se incluirá una declaración en la Descripción del Producto que indique que se deben transportar en frío [por ejemplo, Endotoxinas (10 000 Unidades USP de Endotoxina) (TRANSPORTAR EN FRÍO)].</w:t>
      </w:r>
    </w:p>
    <w:p w:rsidR="00E0198C" w:rsidRPr="00562944" w:rsidRDefault="00E0198C">
      <w:pPr>
        <w:spacing w:before="9" w:after="0" w:line="280" w:lineRule="exact"/>
        <w:rPr>
          <w:sz w:val="21"/>
          <w:szCs w:val="21"/>
          <w:lang w:val="es-ES"/>
        </w:rPr>
      </w:pPr>
    </w:p>
    <w:p w:rsidR="00E0198C" w:rsidRPr="00562944" w:rsidRDefault="00562944">
      <w:pPr>
        <w:spacing w:after="0" w:line="274" w:lineRule="auto"/>
        <w:ind w:left="114" w:right="56" w:firstLine="2"/>
        <w:rPr>
          <w:rFonts w:ascii="Arial" w:eastAsia="Arial" w:hAnsi="Arial" w:cs="Arial"/>
          <w:sz w:val="21"/>
          <w:szCs w:val="21"/>
          <w:lang w:val="es-ES"/>
        </w:rPr>
      </w:pPr>
      <w:r w:rsidRPr="00562944">
        <w:rPr>
          <w:rFonts w:ascii="Arial" w:eastAsia="Arial" w:hAnsi="Arial" w:cs="Arial"/>
          <w:sz w:val="21"/>
          <w:szCs w:val="21"/>
          <w:lang w:val="es"/>
        </w:rPr>
        <w:t>Las condiciones de almacenamiento buscan preservar l</w:t>
      </w:r>
      <w:r w:rsidRPr="00562944">
        <w:rPr>
          <w:rFonts w:ascii="Arial" w:eastAsia="Arial" w:hAnsi="Arial" w:cs="Arial"/>
          <w:sz w:val="21"/>
          <w:szCs w:val="21"/>
          <w:lang w:val="es"/>
        </w:rPr>
        <w:t>a integridad del material durante el periodo en el que se use como un Estándar de Referencia USP. Las condiciones de almacenamiento para un Estándar de Referencia USP cerrado se pueden encontrar generalmente en la etiqueta del envase.  Las Hojas de Datos d</w:t>
      </w:r>
      <w:r w:rsidRPr="00562944">
        <w:rPr>
          <w:rFonts w:ascii="Arial" w:eastAsia="Arial" w:hAnsi="Arial" w:cs="Arial"/>
          <w:sz w:val="21"/>
          <w:szCs w:val="21"/>
          <w:lang w:val="es"/>
        </w:rPr>
        <w:t>e Seguridad (SDS) ya no especifican las condiciones de almacenamiento. De hecho, las SDS indican al usuario que consulte la etiqueta del Estándar de Referencia USP.  Las condiciones de almacenamiento son específicas para cada lote y pueden variar de un lot</w:t>
      </w:r>
      <w:r w:rsidRPr="00562944">
        <w:rPr>
          <w:rFonts w:ascii="Arial" w:eastAsia="Arial" w:hAnsi="Arial" w:cs="Arial"/>
          <w:sz w:val="21"/>
          <w:szCs w:val="21"/>
          <w:lang w:val="es"/>
        </w:rPr>
        <w:t>e a otro. Si la etiqueta del Estándar de Referencia USP no indica instrucciones o limitaciones específicas, las condiciones de almacenamiento incluyen almacenamiento a temperatura ambiente y protección de la humedad, luz, congelamiento y calor excesivo.  C</w:t>
      </w:r>
      <w:r w:rsidRPr="00562944">
        <w:rPr>
          <w:rFonts w:ascii="Arial" w:eastAsia="Arial" w:hAnsi="Arial" w:cs="Arial"/>
          <w:sz w:val="21"/>
          <w:szCs w:val="21"/>
          <w:lang w:val="es"/>
        </w:rPr>
        <w:t>onsulte el Capítulo General </w:t>
      </w:r>
      <w:r w:rsidRPr="00562944">
        <w:rPr>
          <w:rFonts w:ascii="Arial" w:eastAsia="Arial" w:hAnsi="Arial" w:cs="Arial"/>
          <w:i/>
          <w:iCs/>
          <w:sz w:val="21"/>
          <w:szCs w:val="21"/>
          <w:lang w:val="es"/>
        </w:rPr>
        <w:t>&lt;659&gt; Requisitos de envasado y almacenamiento</w:t>
      </w:r>
      <w:r w:rsidRPr="00562944">
        <w:rPr>
          <w:rFonts w:ascii="Arial" w:eastAsia="Arial" w:hAnsi="Arial" w:cs="Arial"/>
          <w:sz w:val="21"/>
          <w:szCs w:val="21"/>
          <w:lang w:val="es"/>
        </w:rPr>
        <w:t xml:space="preserve"> en la publicación USP-NF para conocer las definiciones disponibles de las condiciones de almacenamiento y manejo.</w:t>
      </w:r>
    </w:p>
    <w:p w:rsidR="00E0198C" w:rsidRPr="00562944" w:rsidRDefault="00E0198C">
      <w:pPr>
        <w:spacing w:before="12" w:after="0" w:line="280" w:lineRule="exact"/>
        <w:rPr>
          <w:sz w:val="21"/>
          <w:szCs w:val="21"/>
          <w:lang w:val="es-ES"/>
        </w:rPr>
      </w:pPr>
    </w:p>
    <w:p w:rsidR="00E0198C" w:rsidRPr="00562944" w:rsidRDefault="00562944">
      <w:pPr>
        <w:spacing w:after="0" w:line="275" w:lineRule="auto"/>
        <w:ind w:left="114" w:right="354"/>
        <w:rPr>
          <w:rFonts w:ascii="Arial" w:eastAsia="Arial" w:hAnsi="Arial" w:cs="Arial"/>
          <w:sz w:val="21"/>
          <w:szCs w:val="21"/>
          <w:lang w:val="es-ES"/>
        </w:rPr>
      </w:pPr>
      <w:r w:rsidRPr="00562944">
        <w:rPr>
          <w:rFonts w:ascii="Arial" w:eastAsia="Arial" w:hAnsi="Arial" w:cs="Arial"/>
          <w:sz w:val="21"/>
          <w:szCs w:val="21"/>
          <w:lang w:val="es"/>
        </w:rPr>
        <w:t>En general, la USP proporciona material suficiente para múltiples preparaciones.  Las porciones remanentes no utilizadas luego de que el envase haya sido abierto deben almacenarse con mucho cuidado siguiendo procedimientos de laboratorio cautelosos. Muchas</w:t>
      </w:r>
      <w:r w:rsidRPr="00562944">
        <w:rPr>
          <w:rFonts w:ascii="Arial" w:eastAsia="Arial" w:hAnsi="Arial" w:cs="Arial"/>
          <w:sz w:val="21"/>
          <w:szCs w:val="21"/>
          <w:lang w:val="es"/>
        </w:rPr>
        <w:t xml:space="preserve"> variables exceden el control de la USP. Por tal motivo, la USP no garantiza la aptitud permanente de los Estándares de Referencia USP después de abiertos.  La decisión acerca del uso apropiado de los Estándares de Referencia USP abiertos previamente es re</w:t>
      </w:r>
      <w:r w:rsidRPr="00562944">
        <w:rPr>
          <w:rFonts w:ascii="Arial" w:eastAsia="Arial" w:hAnsi="Arial" w:cs="Arial"/>
          <w:sz w:val="21"/>
          <w:szCs w:val="21"/>
          <w:lang w:val="es"/>
        </w:rPr>
        <w:t>sponsabilidad del usuario.</w:t>
      </w:r>
    </w:p>
    <w:p w:rsidR="00E0198C" w:rsidRPr="00562944" w:rsidRDefault="00E0198C">
      <w:pPr>
        <w:spacing w:before="2" w:after="0" w:line="200" w:lineRule="exact"/>
        <w:rPr>
          <w:sz w:val="21"/>
          <w:szCs w:val="21"/>
          <w:lang w:val="es-ES"/>
        </w:rPr>
      </w:pPr>
    </w:p>
    <w:p w:rsidR="00562944" w:rsidRPr="00562944" w:rsidRDefault="00562944" w:rsidP="00562944">
      <w:pPr>
        <w:spacing w:after="0" w:line="275" w:lineRule="auto"/>
        <w:ind w:left="119" w:right="122" w:firstLine="1"/>
        <w:rPr>
          <w:rFonts w:ascii="Arial" w:eastAsia="Arial" w:hAnsi="Arial" w:cs="Arial"/>
          <w:sz w:val="21"/>
          <w:szCs w:val="21"/>
          <w:lang w:val="es"/>
        </w:rPr>
      </w:pPr>
      <w:r w:rsidRPr="00562944">
        <w:rPr>
          <w:rFonts w:ascii="Arial" w:eastAsia="Arial" w:hAnsi="Arial" w:cs="Arial"/>
          <w:sz w:val="21"/>
          <w:szCs w:val="21"/>
          <w:lang w:val="es"/>
        </w:rPr>
        <w:t xml:space="preserve">El transporte con paquetes refrigerantes o hielo seco puede solicitarse para todos los Estándares de Referencia USP y tiene un costo adicional. Si tiene más preguntas puede comunicarse con nuestro Servicio al Cliente </w:t>
      </w:r>
      <w:r w:rsidRPr="00562944">
        <w:rPr>
          <w:rFonts w:ascii="Arial" w:eastAsia="Arial" w:hAnsi="Arial" w:cs="Arial"/>
          <w:color w:val="0000FF"/>
          <w:sz w:val="21"/>
          <w:szCs w:val="21"/>
          <w:lang w:val="es"/>
        </w:rPr>
        <w:t xml:space="preserve"> </w:t>
      </w:r>
      <w:hyperlink r:id="rId7">
        <w:r w:rsidRPr="00562944">
          <w:rPr>
            <w:rFonts w:ascii="Arial" w:eastAsia="Arial" w:hAnsi="Arial" w:cs="Arial"/>
            <w:color w:val="0000FF"/>
            <w:sz w:val="21"/>
            <w:szCs w:val="21"/>
            <w:u w:val="single"/>
            <w:lang w:val="es"/>
          </w:rPr>
          <w:t>custsvc@usp.org</w:t>
        </w:r>
        <w:r w:rsidRPr="00562944">
          <w:rPr>
            <w:rFonts w:ascii="Arial" w:eastAsia="Arial" w:hAnsi="Arial" w:cs="Arial"/>
            <w:color w:val="0000FF"/>
            <w:sz w:val="21"/>
            <w:szCs w:val="21"/>
            <w:lang w:val="es"/>
          </w:rPr>
          <w:t xml:space="preserve"> </w:t>
        </w:r>
      </w:hyperlink>
      <w:r w:rsidRPr="00562944">
        <w:rPr>
          <w:rFonts w:ascii="Arial" w:eastAsia="Arial" w:hAnsi="Arial" w:cs="Arial"/>
          <w:color w:val="000000"/>
          <w:sz w:val="21"/>
          <w:szCs w:val="21"/>
          <w:lang w:val="es"/>
        </w:rPr>
        <w:t>o llamar al</w:t>
      </w:r>
      <w:r w:rsidRPr="00562944">
        <w:rPr>
          <w:rFonts w:ascii="Arial" w:eastAsia="Arial" w:hAnsi="Arial" w:cs="Arial"/>
          <w:sz w:val="21"/>
          <w:szCs w:val="21"/>
          <w:lang w:val="es-ES"/>
        </w:rPr>
        <w:t xml:space="preserve"> </w:t>
      </w:r>
      <w:r w:rsidRPr="00562944">
        <w:rPr>
          <w:rFonts w:ascii="Arial" w:eastAsia="Arial" w:hAnsi="Arial" w:cs="Arial"/>
          <w:sz w:val="21"/>
          <w:szCs w:val="21"/>
          <w:lang w:val="es"/>
        </w:rPr>
        <w:t xml:space="preserve">1-800-227-8722 (EE.UU y Canadá), +1-3-1-881-0666 </w:t>
      </w:r>
      <w:proofErr w:type="spellStart"/>
      <w:r w:rsidRPr="00562944">
        <w:rPr>
          <w:rFonts w:ascii="Arial" w:eastAsia="Arial" w:hAnsi="Arial" w:cs="Arial"/>
          <w:sz w:val="21"/>
          <w:szCs w:val="21"/>
          <w:lang w:val="es"/>
        </w:rPr>
        <w:t>ó</w:t>
      </w:r>
      <w:proofErr w:type="spellEnd"/>
      <w:r w:rsidRPr="00562944">
        <w:rPr>
          <w:rFonts w:ascii="Arial" w:eastAsia="Arial" w:hAnsi="Arial" w:cs="Arial"/>
          <w:sz w:val="21"/>
          <w:szCs w:val="21"/>
          <w:lang w:val="es"/>
        </w:rPr>
        <w:t xml:space="preserve"> 00-800-4875-5555 (Seleccionar Europa) para </w:t>
      </w:r>
      <w:r w:rsidRPr="00562944">
        <w:rPr>
          <w:rFonts w:ascii="Arial" w:eastAsia="Arial" w:hAnsi="Arial" w:cs="Arial"/>
          <w:sz w:val="21"/>
          <w:szCs w:val="21"/>
          <w:lang w:val="es"/>
        </w:rPr>
        <w:t>obtener más información.</w:t>
      </w:r>
    </w:p>
    <w:p w:rsidR="00562944" w:rsidRPr="00562944" w:rsidRDefault="00562944" w:rsidP="00562944">
      <w:pPr>
        <w:spacing w:after="0" w:line="275" w:lineRule="auto"/>
        <w:ind w:left="119" w:right="122" w:firstLine="1"/>
        <w:rPr>
          <w:rFonts w:ascii="Arial" w:eastAsia="Arial" w:hAnsi="Arial" w:cs="Arial"/>
          <w:sz w:val="21"/>
          <w:szCs w:val="21"/>
          <w:lang w:val="es"/>
        </w:rPr>
      </w:pPr>
    </w:p>
    <w:p w:rsidR="00E0198C" w:rsidRPr="00562944" w:rsidRDefault="00562944" w:rsidP="00562944">
      <w:pPr>
        <w:spacing w:after="0" w:line="275" w:lineRule="auto"/>
        <w:ind w:left="119" w:right="122" w:firstLine="1"/>
        <w:rPr>
          <w:rFonts w:ascii="Arial" w:eastAsia="Arial" w:hAnsi="Arial" w:cs="Arial"/>
          <w:sz w:val="21"/>
          <w:szCs w:val="21"/>
          <w:lang w:val="es-ES"/>
        </w:rPr>
      </w:pPr>
      <w:r w:rsidRPr="00562944">
        <w:rPr>
          <w:rFonts w:ascii="Arial" w:eastAsia="Arial" w:hAnsi="Arial" w:cs="Arial"/>
          <w:sz w:val="21"/>
          <w:szCs w:val="21"/>
          <w:lang w:val="es"/>
        </w:rPr>
        <w:t xml:space="preserve"> Atentamente,</w:t>
      </w:r>
    </w:p>
    <w:p w:rsidR="00E0198C" w:rsidRPr="00562944" w:rsidRDefault="00E0198C">
      <w:pPr>
        <w:spacing w:after="0" w:line="200" w:lineRule="exact"/>
        <w:rPr>
          <w:sz w:val="21"/>
          <w:szCs w:val="21"/>
          <w:lang w:val="es-ES"/>
        </w:rPr>
      </w:pPr>
    </w:p>
    <w:p w:rsidR="00E0198C" w:rsidRPr="00562944" w:rsidRDefault="00E0198C">
      <w:pPr>
        <w:spacing w:after="0" w:line="200" w:lineRule="exact"/>
        <w:rPr>
          <w:sz w:val="21"/>
          <w:szCs w:val="21"/>
          <w:lang w:val="es-ES"/>
        </w:rPr>
      </w:pPr>
    </w:p>
    <w:p w:rsidR="00E0198C" w:rsidRPr="00562944" w:rsidRDefault="00E0198C">
      <w:pPr>
        <w:spacing w:before="1" w:after="0" w:line="220" w:lineRule="exact"/>
        <w:rPr>
          <w:sz w:val="21"/>
          <w:szCs w:val="21"/>
          <w:lang w:val="es-ES"/>
        </w:rPr>
      </w:pPr>
    </w:p>
    <w:p w:rsidR="00E0198C" w:rsidRPr="00562944" w:rsidRDefault="00562944">
      <w:pPr>
        <w:spacing w:after="0" w:line="240" w:lineRule="auto"/>
        <w:ind w:left="919" w:right="-20"/>
        <w:rPr>
          <w:rFonts w:ascii="Arial" w:eastAsia="Arial" w:hAnsi="Arial" w:cs="Arial"/>
          <w:sz w:val="21"/>
          <w:szCs w:val="21"/>
          <w:lang w:val="es-ES"/>
        </w:rPr>
      </w:pPr>
      <w:proofErr w:type="spellStart"/>
      <w:r w:rsidRPr="00562944">
        <w:rPr>
          <w:rFonts w:ascii="Arial" w:eastAsia="Arial" w:hAnsi="Arial" w:cs="Arial"/>
          <w:sz w:val="21"/>
          <w:szCs w:val="21"/>
          <w:lang w:val="es"/>
        </w:rPr>
        <w:t>Teri</w:t>
      </w:r>
      <w:proofErr w:type="spellEnd"/>
      <w:r w:rsidRPr="00562944">
        <w:rPr>
          <w:rFonts w:ascii="Arial" w:eastAsia="Arial" w:hAnsi="Arial" w:cs="Arial"/>
          <w:sz w:val="21"/>
          <w:szCs w:val="21"/>
          <w:lang w:val="es"/>
        </w:rPr>
        <w:t xml:space="preserve"> L. </w:t>
      </w:r>
      <w:proofErr w:type="spellStart"/>
      <w:r w:rsidRPr="00562944">
        <w:rPr>
          <w:rFonts w:ascii="Arial" w:eastAsia="Arial" w:hAnsi="Arial" w:cs="Arial"/>
          <w:sz w:val="21"/>
          <w:szCs w:val="21"/>
          <w:lang w:val="es"/>
        </w:rPr>
        <w:t>Toth</w:t>
      </w:r>
      <w:proofErr w:type="spellEnd"/>
    </w:p>
    <w:p w:rsidR="00E0198C" w:rsidRPr="00562944" w:rsidRDefault="00562944">
      <w:pPr>
        <w:spacing w:before="22" w:after="0" w:line="240" w:lineRule="auto"/>
        <w:ind w:left="919" w:right="-20"/>
        <w:rPr>
          <w:rFonts w:ascii="Arial" w:eastAsia="Arial" w:hAnsi="Arial" w:cs="Arial"/>
          <w:sz w:val="21"/>
          <w:szCs w:val="21"/>
          <w:lang w:val="es-ES"/>
        </w:rPr>
      </w:pPr>
      <w:r w:rsidRPr="00562944">
        <w:rPr>
          <w:rFonts w:ascii="Arial" w:eastAsia="Arial" w:hAnsi="Arial" w:cs="Arial"/>
          <w:sz w:val="21"/>
          <w:szCs w:val="21"/>
          <w:lang w:val="es"/>
        </w:rPr>
        <w:t>Vicepresidenta, Garantía de Calidad Globa</w:t>
      </w:r>
      <w:r w:rsidRPr="00562944">
        <w:rPr>
          <w:rFonts w:ascii="Arial" w:eastAsia="Arial" w:hAnsi="Arial" w:cs="Arial"/>
          <w:sz w:val="21"/>
          <w:szCs w:val="21"/>
          <w:lang w:val="es"/>
        </w:rPr>
        <w:t>l</w:t>
      </w:r>
    </w:p>
    <w:p w:rsidR="00E0198C" w:rsidRPr="00562944" w:rsidRDefault="00562944">
      <w:pPr>
        <w:spacing w:before="7" w:after="0" w:line="240" w:lineRule="auto"/>
        <w:ind w:left="919" w:right="-20"/>
        <w:rPr>
          <w:rFonts w:ascii="Arial" w:eastAsia="Arial" w:hAnsi="Arial" w:cs="Arial"/>
          <w:sz w:val="21"/>
          <w:szCs w:val="21"/>
        </w:rPr>
      </w:pPr>
      <w:r w:rsidRPr="00562944">
        <w:rPr>
          <w:rFonts w:ascii="Arial" w:eastAsia="Arial" w:hAnsi="Arial" w:cs="Arial"/>
          <w:sz w:val="21"/>
          <w:szCs w:val="21"/>
        </w:rPr>
        <w:t>The United States Pharmacopeial Convention</w:t>
      </w:r>
    </w:p>
    <w:p w:rsidR="00E0198C" w:rsidRPr="00562944" w:rsidRDefault="00562944">
      <w:pPr>
        <w:spacing w:before="22" w:after="0" w:line="240" w:lineRule="auto"/>
        <w:ind w:left="919" w:right="-20"/>
        <w:rPr>
          <w:rFonts w:ascii="Arial" w:eastAsia="Arial" w:hAnsi="Arial" w:cs="Arial"/>
          <w:sz w:val="21"/>
          <w:szCs w:val="21"/>
        </w:rPr>
      </w:pPr>
      <w:r w:rsidRPr="00562944">
        <w:rPr>
          <w:rFonts w:ascii="Arial" w:eastAsia="Arial" w:hAnsi="Arial" w:cs="Arial"/>
          <w:sz w:val="21"/>
          <w:szCs w:val="21"/>
        </w:rPr>
        <w:t xml:space="preserve">12601 </w:t>
      </w:r>
      <w:proofErr w:type="spellStart"/>
      <w:r w:rsidRPr="00562944">
        <w:rPr>
          <w:rFonts w:ascii="Arial" w:eastAsia="Arial" w:hAnsi="Arial" w:cs="Arial"/>
          <w:sz w:val="21"/>
          <w:szCs w:val="21"/>
        </w:rPr>
        <w:t>Twinbrook</w:t>
      </w:r>
      <w:proofErr w:type="spellEnd"/>
      <w:r w:rsidRPr="00562944">
        <w:rPr>
          <w:rFonts w:ascii="Arial" w:eastAsia="Arial" w:hAnsi="Arial" w:cs="Arial"/>
          <w:sz w:val="21"/>
          <w:szCs w:val="21"/>
        </w:rPr>
        <w:t xml:space="preserve"> Parkway</w:t>
      </w:r>
    </w:p>
    <w:p w:rsidR="00E0198C" w:rsidRPr="00562944" w:rsidRDefault="00562944">
      <w:pPr>
        <w:spacing w:before="7" w:after="0" w:line="240" w:lineRule="auto"/>
        <w:ind w:left="919" w:right="-20"/>
        <w:rPr>
          <w:rFonts w:ascii="Arial" w:eastAsia="Arial" w:hAnsi="Arial" w:cs="Arial"/>
          <w:sz w:val="21"/>
          <w:szCs w:val="21"/>
        </w:rPr>
      </w:pPr>
      <w:r w:rsidRPr="00562944">
        <w:rPr>
          <w:rFonts w:ascii="Arial" w:eastAsia="Arial" w:hAnsi="Arial" w:cs="Arial"/>
          <w:sz w:val="21"/>
          <w:szCs w:val="21"/>
          <w:lang w:val="es"/>
        </w:rPr>
        <w:lastRenderedPageBreak/>
        <w:t>Rockville, MD 20852</w:t>
      </w:r>
    </w:p>
    <w:p w:rsidR="00E0198C" w:rsidRPr="00562944" w:rsidRDefault="00562944">
      <w:pPr>
        <w:spacing w:before="19" w:after="0" w:line="240" w:lineRule="auto"/>
        <w:ind w:left="919" w:right="-20"/>
        <w:rPr>
          <w:rFonts w:ascii="Arial" w:eastAsia="Arial" w:hAnsi="Arial" w:cs="Arial"/>
          <w:sz w:val="21"/>
          <w:szCs w:val="21"/>
        </w:rPr>
      </w:pPr>
      <w:r w:rsidRPr="00562944">
        <w:rPr>
          <w:rFonts w:ascii="Arial" w:eastAsia="Arial" w:hAnsi="Arial" w:cs="Arial"/>
          <w:sz w:val="21"/>
          <w:szCs w:val="21"/>
          <w:lang w:val="es"/>
        </w:rPr>
        <w:t>USA</w:t>
      </w:r>
    </w:p>
    <w:sectPr w:rsidR="00E0198C" w:rsidRPr="00562944">
      <w:type w:val="continuous"/>
      <w:pgSz w:w="12240" w:h="15840"/>
      <w:pgMar w:top="14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0198C"/>
    <w:rsid w:val="00562944"/>
    <w:rsid w:val="00E0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svc@us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Company>United States Pharmacopeia</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Corbin</dc:creator>
  <cp:lastModifiedBy>Nadia C. Gomez</cp:lastModifiedBy>
  <cp:revision>2</cp:revision>
  <dcterms:created xsi:type="dcterms:W3CDTF">2017-08-15T15:50:00Z</dcterms:created>
  <dcterms:modified xsi:type="dcterms:W3CDTF">2017-09-07T12:25:00Z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LastSaved">
    <vt:filetime>2017-08-15T00:00:00Z</vt:filetime>
  </property>
</Properties>
</file>